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4A" w:rsidRDefault="00C5434A" w:rsidP="00C5434A">
      <w:pPr>
        <w:pStyle w:val="Heading1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proofErr w:type="spellStart"/>
      <w:r w:rsidRPr="6170DE29">
        <w:rPr>
          <w:rFonts w:asciiTheme="minorHAnsi" w:eastAsiaTheme="minorEastAsia" w:hAnsiTheme="minorHAnsi" w:cstheme="minorBidi"/>
          <w:color w:val="auto"/>
          <w:sz w:val="28"/>
          <w:szCs w:val="28"/>
        </w:rPr>
        <w:t>Paxlovid</w:t>
      </w:r>
      <w:proofErr w:type="spellEnd"/>
      <w:r w:rsidRPr="6170DE29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(</w:t>
      </w:r>
      <w:proofErr w:type="spellStart"/>
      <w:r w:rsidRPr="6170DE29">
        <w:rPr>
          <w:rFonts w:asciiTheme="minorHAnsi" w:eastAsiaTheme="minorEastAsia" w:hAnsiTheme="minorHAnsi" w:cstheme="minorBidi"/>
          <w:color w:val="auto"/>
          <w:sz w:val="28"/>
          <w:szCs w:val="28"/>
        </w:rPr>
        <w:t>nirmatrelvir</w:t>
      </w:r>
      <w:proofErr w:type="spellEnd"/>
      <w:r w:rsidRPr="6170DE29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/ritonavir) / </w:t>
      </w:r>
      <w:proofErr w:type="spellStart"/>
      <w:r w:rsidRPr="6170DE29">
        <w:rPr>
          <w:rFonts w:asciiTheme="minorHAnsi" w:eastAsiaTheme="minorEastAsia" w:hAnsiTheme="minorHAnsi" w:cstheme="minorBidi"/>
          <w:color w:val="auto"/>
          <w:sz w:val="28"/>
          <w:szCs w:val="28"/>
        </w:rPr>
        <w:t>Molnupiravir</w:t>
      </w:r>
      <w:proofErr w:type="spellEnd"/>
      <w:r w:rsidRPr="6170DE29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Order Form </w:t>
      </w:r>
    </w:p>
    <w:p w:rsidR="00C5434A" w:rsidRDefault="00C5434A" w:rsidP="00C5434A">
      <w:pPr>
        <w:spacing w:after="0" w:line="257" w:lineRule="auto"/>
        <w:rPr>
          <w:rFonts w:eastAsiaTheme="minorEastAsia"/>
          <w:b/>
          <w:bCs/>
          <w:sz w:val="24"/>
          <w:szCs w:val="24"/>
        </w:rPr>
      </w:pPr>
    </w:p>
    <w:p w:rsidR="00C5434A" w:rsidRDefault="00C5434A" w:rsidP="00C5434A">
      <w:pPr>
        <w:spacing w:after="0" w:line="257" w:lineRule="auto"/>
        <w:rPr>
          <w:rFonts w:eastAsiaTheme="minorEastAsia"/>
          <w:sz w:val="24"/>
          <w:szCs w:val="24"/>
        </w:rPr>
      </w:pPr>
      <w:r w:rsidRPr="3D815C31">
        <w:rPr>
          <w:rFonts w:eastAsiaTheme="minorEastAsia"/>
          <w:b/>
          <w:bCs/>
          <w:sz w:val="24"/>
          <w:szCs w:val="24"/>
        </w:rPr>
        <w:t xml:space="preserve">Location for dispensing:  </w:t>
      </w:r>
      <w:r>
        <w:tab/>
      </w:r>
      <w:r w:rsidRPr="3D815C31">
        <w:rPr>
          <w:rFonts w:eastAsiaTheme="minorEastAsia"/>
          <w:sz w:val="24"/>
          <w:szCs w:val="24"/>
        </w:rPr>
        <w:t>Ca</w:t>
      </w:r>
      <w:r>
        <w:rPr>
          <w:rFonts w:eastAsiaTheme="minorEastAsia"/>
          <w:sz w:val="24"/>
          <w:szCs w:val="24"/>
        </w:rPr>
        <w:t>s</w:t>
      </w:r>
      <w:r w:rsidRPr="3D815C31">
        <w:rPr>
          <w:rFonts w:eastAsiaTheme="minorEastAsia"/>
          <w:sz w:val="24"/>
          <w:szCs w:val="24"/>
        </w:rPr>
        <w:t xml:space="preserve">per - Natrona County Health Department </w:t>
      </w:r>
    </w:p>
    <w:p w:rsidR="00C5434A" w:rsidRDefault="00C5434A" w:rsidP="00C5434A">
      <w:pPr>
        <w:spacing w:after="0" w:line="257" w:lineRule="auto"/>
        <w:ind w:left="2880" w:firstLine="720"/>
        <w:rPr>
          <w:rFonts w:eastAsiaTheme="minorEastAsia"/>
          <w:sz w:val="24"/>
          <w:szCs w:val="24"/>
        </w:rPr>
      </w:pPr>
      <w:r w:rsidRPr="3D815C31">
        <w:rPr>
          <w:rFonts w:eastAsiaTheme="minorEastAsia"/>
          <w:sz w:val="24"/>
          <w:szCs w:val="24"/>
        </w:rPr>
        <w:t xml:space="preserve">475 S. Spruce St., Casper WY </w:t>
      </w:r>
    </w:p>
    <w:p w:rsidR="00C5434A" w:rsidRDefault="00C5434A" w:rsidP="00C5434A">
      <w:pPr>
        <w:spacing w:after="0" w:line="257" w:lineRule="auto"/>
        <w:ind w:left="288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Fax number 307-235-9146</w:t>
      </w:r>
    </w:p>
    <w:p w:rsidR="00C5434A" w:rsidRPr="00AC3E27" w:rsidRDefault="00C5434A" w:rsidP="00C5434A">
      <w:pPr>
        <w:spacing w:after="0" w:line="257" w:lineRule="auto"/>
        <w:rPr>
          <w:rFonts w:eastAsiaTheme="minorEastAsia"/>
          <w:b/>
          <w:sz w:val="24"/>
          <w:szCs w:val="24"/>
          <w:u w:val="single"/>
        </w:rPr>
      </w:pPr>
      <w:r w:rsidRPr="00AC3E27">
        <w:rPr>
          <w:rFonts w:eastAsiaTheme="minorEastAsia"/>
          <w:b/>
          <w:sz w:val="24"/>
          <w:szCs w:val="24"/>
          <w:u w:val="single"/>
        </w:rPr>
        <w:t xml:space="preserve">Patient Information: </w:t>
      </w:r>
    </w:p>
    <w:p w:rsidR="00C5434A" w:rsidRPr="00AC3E27" w:rsidRDefault="00C5434A" w:rsidP="00C5434A">
      <w:pPr>
        <w:spacing w:after="0" w:line="257" w:lineRule="auto"/>
        <w:rPr>
          <w:rFonts w:eastAsiaTheme="minorEastAsia"/>
          <w:sz w:val="24"/>
          <w:szCs w:val="24"/>
        </w:rPr>
      </w:pPr>
      <w:r w:rsidRPr="00AC3E27">
        <w:rPr>
          <w:rFonts w:eastAsiaTheme="minorEastAsia"/>
          <w:sz w:val="24"/>
          <w:szCs w:val="24"/>
        </w:rPr>
        <w:t xml:space="preserve">Patient First and Last name: _________________________   Patient </w:t>
      </w:r>
      <w:proofErr w:type="gramStart"/>
      <w:r>
        <w:rPr>
          <w:rFonts w:eastAsiaTheme="minorEastAsia"/>
          <w:sz w:val="24"/>
          <w:szCs w:val="24"/>
        </w:rPr>
        <w:t>D</w:t>
      </w:r>
      <w:r w:rsidRPr="00AC3E27">
        <w:rPr>
          <w:rFonts w:eastAsiaTheme="minorEastAsia"/>
          <w:sz w:val="24"/>
          <w:szCs w:val="24"/>
        </w:rPr>
        <w:t>OB:_</w:t>
      </w:r>
      <w:proofErr w:type="gramEnd"/>
      <w:r w:rsidRPr="00AC3E27">
        <w:rPr>
          <w:rFonts w:eastAsiaTheme="minorEastAsia"/>
          <w:sz w:val="24"/>
          <w:szCs w:val="24"/>
        </w:rPr>
        <w:t>_________________</w:t>
      </w:r>
    </w:p>
    <w:p w:rsidR="00C5434A" w:rsidRPr="00AC3E27" w:rsidRDefault="00C5434A" w:rsidP="00C5434A">
      <w:pPr>
        <w:spacing w:after="0" w:line="257" w:lineRule="auto"/>
        <w:rPr>
          <w:rFonts w:eastAsiaTheme="minorEastAsia"/>
          <w:sz w:val="24"/>
          <w:szCs w:val="24"/>
        </w:rPr>
      </w:pPr>
      <w:r w:rsidRPr="00AC3E27">
        <w:rPr>
          <w:rFonts w:eastAsiaTheme="minorEastAsia"/>
          <w:sz w:val="24"/>
          <w:szCs w:val="24"/>
        </w:rPr>
        <w:t xml:space="preserve">Patient contact </w:t>
      </w:r>
      <w:proofErr w:type="gramStart"/>
      <w:r w:rsidRPr="00AC3E27">
        <w:rPr>
          <w:rFonts w:eastAsiaTheme="minorEastAsia"/>
          <w:sz w:val="24"/>
          <w:szCs w:val="24"/>
        </w:rPr>
        <w:t>number:_</w:t>
      </w:r>
      <w:proofErr w:type="gramEnd"/>
      <w:r w:rsidRPr="00AC3E27">
        <w:rPr>
          <w:rFonts w:eastAsiaTheme="minorEastAsia"/>
          <w:sz w:val="24"/>
          <w:szCs w:val="24"/>
        </w:rPr>
        <w:t>____________________________</w:t>
      </w:r>
    </w:p>
    <w:p w:rsidR="00C5434A" w:rsidRPr="00AC3E27" w:rsidRDefault="00C5434A" w:rsidP="00C5434A">
      <w:pPr>
        <w:spacing w:after="0" w:line="257" w:lineRule="auto"/>
        <w:rPr>
          <w:rFonts w:eastAsiaTheme="minorEastAsia"/>
          <w:sz w:val="24"/>
          <w:szCs w:val="24"/>
        </w:rPr>
      </w:pPr>
      <w:r w:rsidRPr="00AC3E27">
        <w:rPr>
          <w:rFonts w:eastAsiaTheme="minorEastAsia"/>
          <w:sz w:val="24"/>
          <w:szCs w:val="24"/>
        </w:rPr>
        <w:t>Date of Positive COVID Test: ________________</w:t>
      </w:r>
      <w:r>
        <w:rPr>
          <w:rFonts w:eastAsiaTheme="minorEastAsia"/>
          <w:sz w:val="24"/>
          <w:szCs w:val="24"/>
        </w:rPr>
        <w:t xml:space="preserve">__________      </w:t>
      </w:r>
    </w:p>
    <w:p w:rsidR="00C5434A" w:rsidRPr="008F16BB" w:rsidRDefault="006403FF" w:rsidP="00C5434A">
      <w:pPr>
        <w:spacing w:line="257" w:lineRule="auto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Date of symptom </w:t>
      </w:r>
      <w:proofErr w:type="gramStart"/>
      <w:r>
        <w:rPr>
          <w:rFonts w:eastAsiaTheme="minorEastAsia"/>
          <w:bCs/>
          <w:sz w:val="26"/>
          <w:szCs w:val="26"/>
        </w:rPr>
        <w:t>onset</w:t>
      </w:r>
      <w:r w:rsidR="00C5434A" w:rsidRPr="008F16BB">
        <w:rPr>
          <w:rFonts w:eastAsiaTheme="minorEastAsia"/>
          <w:bCs/>
          <w:sz w:val="26"/>
          <w:szCs w:val="26"/>
        </w:rPr>
        <w:t>:_</w:t>
      </w:r>
      <w:proofErr w:type="gramEnd"/>
      <w:r w:rsidR="00C5434A" w:rsidRPr="008F16BB">
        <w:rPr>
          <w:rFonts w:eastAsiaTheme="minorEastAsia"/>
          <w:bCs/>
          <w:sz w:val="26"/>
          <w:szCs w:val="26"/>
        </w:rPr>
        <w:t>________________________</w:t>
      </w:r>
    </w:p>
    <w:p w:rsidR="00C5434A" w:rsidRPr="00C5434A" w:rsidRDefault="00C5434A" w:rsidP="00C5434A">
      <w:pPr>
        <w:spacing w:line="257" w:lineRule="auto"/>
        <w:rPr>
          <w:rFonts w:eastAsiaTheme="minorEastAsia"/>
          <w:i/>
          <w:iCs/>
        </w:rPr>
      </w:pPr>
      <w:r w:rsidRPr="00C5434A">
        <w:rPr>
          <w:rFonts w:eastAsiaTheme="minorEastAsia"/>
          <w:b/>
          <w:bCs/>
          <w:u w:val="single"/>
        </w:rPr>
        <w:t>Evidence:</w:t>
      </w:r>
      <w:r w:rsidRPr="00C5434A">
        <w:rPr>
          <w:rFonts w:eastAsiaTheme="minorEastAsia"/>
        </w:rPr>
        <w:t xml:space="preserve"> </w:t>
      </w:r>
      <w:proofErr w:type="spellStart"/>
      <w:r w:rsidRPr="00C5434A">
        <w:rPr>
          <w:rFonts w:eastAsiaTheme="minorEastAsia"/>
          <w:i/>
          <w:iCs/>
        </w:rPr>
        <w:t>Paxlovid</w:t>
      </w:r>
      <w:proofErr w:type="spellEnd"/>
      <w:r w:rsidRPr="00C5434A">
        <w:rPr>
          <w:rFonts w:eastAsiaTheme="minorEastAsia"/>
          <w:i/>
          <w:iCs/>
        </w:rPr>
        <w:t xml:space="preserve"> reduces risk of hospitalization due to Covid-19 by 88%.  </w:t>
      </w:r>
      <w:proofErr w:type="spellStart"/>
      <w:r w:rsidRPr="00C5434A">
        <w:rPr>
          <w:rFonts w:eastAsiaTheme="minorEastAsia"/>
          <w:i/>
          <w:iCs/>
        </w:rPr>
        <w:t>Molnupiravir</w:t>
      </w:r>
      <w:proofErr w:type="spellEnd"/>
      <w:r w:rsidRPr="00C5434A">
        <w:rPr>
          <w:rFonts w:eastAsiaTheme="minorEastAsia"/>
          <w:i/>
          <w:iCs/>
        </w:rPr>
        <w:t xml:space="preserve"> </w:t>
      </w:r>
      <w:r w:rsidRPr="00C5434A">
        <w:tab/>
      </w:r>
      <w:r w:rsidRPr="00C5434A">
        <w:rPr>
          <w:rFonts w:eastAsiaTheme="minorEastAsia"/>
          <w:i/>
          <w:iCs/>
        </w:rPr>
        <w:t xml:space="preserve">reduces by 30%.   </w:t>
      </w:r>
      <w:proofErr w:type="spellStart"/>
      <w:r w:rsidRPr="00C5434A">
        <w:rPr>
          <w:rFonts w:eastAsiaTheme="minorEastAsia"/>
          <w:i/>
          <w:iCs/>
        </w:rPr>
        <w:t>Sotrovimab</w:t>
      </w:r>
      <w:proofErr w:type="spellEnd"/>
      <w:r w:rsidRPr="00C5434A">
        <w:rPr>
          <w:rFonts w:eastAsiaTheme="minorEastAsia"/>
          <w:i/>
          <w:iCs/>
        </w:rPr>
        <w:t xml:space="preserve"> (IV infusion) is more effective than </w:t>
      </w:r>
      <w:proofErr w:type="spellStart"/>
      <w:r w:rsidRPr="00C5434A">
        <w:rPr>
          <w:rFonts w:eastAsiaTheme="minorEastAsia"/>
          <w:i/>
          <w:iCs/>
        </w:rPr>
        <w:t>molnupiravir</w:t>
      </w:r>
      <w:proofErr w:type="spellEnd"/>
      <w:r w:rsidRPr="00C5434A">
        <w:rPr>
          <w:rFonts w:eastAsiaTheme="minorEastAsia"/>
          <w:i/>
          <w:iCs/>
        </w:rPr>
        <w:t xml:space="preserve"> and is </w:t>
      </w:r>
      <w:bookmarkStart w:id="0" w:name="_GoBack"/>
      <w:bookmarkEnd w:id="0"/>
      <w:r w:rsidRPr="00C5434A">
        <w:rPr>
          <w:rFonts w:eastAsiaTheme="minorEastAsia"/>
          <w:i/>
          <w:iCs/>
        </w:rPr>
        <w:t xml:space="preserve">available to order at Banner WYMC or 307 Infusion (as of 1/10/22). </w:t>
      </w:r>
    </w:p>
    <w:p w:rsidR="00C5434A" w:rsidRPr="00C5434A" w:rsidRDefault="00C5434A" w:rsidP="00C5434A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b/>
          <w:bCs/>
        </w:rPr>
      </w:pPr>
      <w:r w:rsidRPr="00C5434A">
        <w:rPr>
          <w:rFonts w:eastAsiaTheme="minorEastAsia"/>
          <w:b/>
          <w:bCs/>
        </w:rPr>
        <w:t xml:space="preserve">Patient MUST meet all criteria (please check): </w:t>
      </w:r>
    </w:p>
    <w:p w:rsidR="00C5434A" w:rsidRPr="00C5434A" w:rsidRDefault="00C5434A" w:rsidP="00C5434A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</w:rPr>
      </w:pPr>
      <w:r w:rsidRPr="00C5434A">
        <w:rPr>
          <w:rFonts w:eastAsiaTheme="minorEastAsia"/>
        </w:rPr>
        <w:t>Covid-19 positive by PCR or Antigen testing</w:t>
      </w:r>
    </w:p>
    <w:p w:rsidR="00C5434A" w:rsidRPr="00C5434A" w:rsidRDefault="00C5434A" w:rsidP="00C5434A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</w:rPr>
      </w:pPr>
      <w:r w:rsidRPr="00C5434A">
        <w:rPr>
          <w:rFonts w:eastAsiaTheme="minorEastAsia"/>
          <w:color w:val="000000" w:themeColor="text1"/>
        </w:rPr>
        <w:t>Within 5 days from symptom onset</w:t>
      </w:r>
    </w:p>
    <w:p w:rsidR="00C5434A" w:rsidRPr="00C5434A" w:rsidRDefault="00C5434A" w:rsidP="00C5434A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</w:rPr>
      </w:pPr>
      <w:r w:rsidRPr="00C5434A">
        <w:rPr>
          <w:rFonts w:eastAsiaTheme="minorEastAsia"/>
          <w:color w:val="000000" w:themeColor="text1"/>
        </w:rPr>
        <w:t>Not on Oxygen, or not on an increase from baseline oxygen requirements</w:t>
      </w:r>
    </w:p>
    <w:p w:rsidR="00C5434A" w:rsidRPr="00C5434A" w:rsidRDefault="00C5434A" w:rsidP="00C5434A">
      <w:pPr>
        <w:pStyle w:val="ListParagraph"/>
        <w:numPr>
          <w:ilvl w:val="0"/>
          <w:numId w:val="1"/>
        </w:numPr>
        <w:spacing w:after="0" w:line="257" w:lineRule="auto"/>
        <w:rPr>
          <w:rFonts w:eastAsiaTheme="minorEastAsia"/>
          <w:color w:val="000000" w:themeColor="text1"/>
        </w:rPr>
      </w:pPr>
      <w:r w:rsidRPr="00C5434A">
        <w:rPr>
          <w:rFonts w:eastAsiaTheme="minorEastAsia"/>
          <w:color w:val="000000" w:themeColor="text1"/>
        </w:rPr>
        <w:t xml:space="preserve">12 years of age or older weighing at least 40 kg (PAXLOVID) or </w:t>
      </w:r>
    </w:p>
    <w:p w:rsidR="00C5434A" w:rsidRPr="00C5434A" w:rsidRDefault="00C5434A" w:rsidP="00C5434A">
      <w:pPr>
        <w:spacing w:after="0" w:line="257" w:lineRule="auto"/>
        <w:ind w:firstLine="720"/>
        <w:rPr>
          <w:rFonts w:eastAsiaTheme="minorEastAsia"/>
          <w:color w:val="000000" w:themeColor="text1"/>
        </w:rPr>
      </w:pPr>
      <w:r w:rsidRPr="00C5434A">
        <w:rPr>
          <w:rFonts w:eastAsiaTheme="minorEastAsia"/>
          <w:color w:val="000000" w:themeColor="text1"/>
        </w:rPr>
        <w:t>18 years of age or older (MOLNUPIRAVIR)</w:t>
      </w:r>
    </w:p>
    <w:p w:rsidR="00C5434A" w:rsidRDefault="00C5434A" w:rsidP="00C5434A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</w:rPr>
      </w:pPr>
      <w:r w:rsidRPr="00C5434A">
        <w:rPr>
          <w:rFonts w:eastAsiaTheme="minorEastAsia"/>
          <w:color w:val="000000" w:themeColor="text1"/>
        </w:rPr>
        <w:t>Has one or more of the following high-risk factors* for progressing to severe Covid-19 and/or hospitalization</w:t>
      </w:r>
    </w:p>
    <w:p w:rsidR="006403FF" w:rsidRPr="006403FF" w:rsidRDefault="006403FF" w:rsidP="006403FF">
      <w:pPr>
        <w:spacing w:after="0" w:line="240" w:lineRule="auto"/>
        <w:rPr>
          <w:rFonts w:eastAsiaTheme="minorEastAsia"/>
          <w:b/>
          <w:color w:val="000000" w:themeColor="text1"/>
        </w:rPr>
      </w:pPr>
      <w:r w:rsidRPr="006403FF">
        <w:rPr>
          <w:rFonts w:eastAsiaTheme="minorEastAsia"/>
          <w:b/>
          <w:color w:val="000000" w:themeColor="text1"/>
        </w:rPr>
        <w:t>Circle Risk factors:</w:t>
      </w:r>
    </w:p>
    <w:p w:rsidR="006403FF" w:rsidRDefault="00C5434A" w:rsidP="006403FF">
      <w:pPr>
        <w:spacing w:after="0" w:line="240" w:lineRule="auto"/>
        <w:rPr>
          <w:rFonts w:eastAsiaTheme="minorEastAsia"/>
          <w:color w:val="000000" w:themeColor="text1"/>
        </w:rPr>
      </w:pPr>
      <w:r w:rsidRPr="00C5434A">
        <w:rPr>
          <w:rFonts w:eastAsiaTheme="minorEastAsia"/>
          <w:color w:val="000000" w:themeColor="text1"/>
        </w:rPr>
        <w:t>*Age ≥ 65 years, cancer, chronic lung diseases, dementia or other neurological conditions, diabetes (type 1 or 2), down syndrome, heart conditions, HIV infection, immunocompromised state, obesity, sickle cell disease or thalassemia, smoking, solid organ or blood stem cell transplant, stroke or cerebrovascular disease, substance use disorders, tuberculosis.</w:t>
      </w:r>
      <w:r w:rsidR="006403FF">
        <w:rPr>
          <w:rFonts w:eastAsiaTheme="minorEastAsia"/>
          <w:color w:val="000000" w:themeColor="text1"/>
        </w:rPr>
        <w:t xml:space="preserve"> Other: _____________________</w:t>
      </w:r>
    </w:p>
    <w:p w:rsidR="00C5434A" w:rsidRPr="00C5434A" w:rsidRDefault="00C5434A" w:rsidP="006403FF">
      <w:pPr>
        <w:spacing w:after="0" w:line="240" w:lineRule="auto"/>
        <w:rPr>
          <w:rFonts w:eastAsiaTheme="minorEastAsia"/>
          <w:color w:val="000000" w:themeColor="text1"/>
        </w:rPr>
      </w:pPr>
      <w:r w:rsidRPr="00C5434A">
        <w:rPr>
          <w:rFonts w:eastAsiaTheme="minorEastAsia"/>
          <w:color w:val="000000" w:themeColor="text1"/>
        </w:rPr>
        <w:t xml:space="preserve">  *Pregnancy is a high-risk category, but there is no human data on outcomes in pregnancy using </w:t>
      </w:r>
      <w:proofErr w:type="spellStart"/>
      <w:r w:rsidRPr="00C5434A">
        <w:rPr>
          <w:rFonts w:eastAsiaTheme="minorEastAsia"/>
          <w:color w:val="000000" w:themeColor="text1"/>
        </w:rPr>
        <w:t>nirmatrelvir</w:t>
      </w:r>
      <w:proofErr w:type="spellEnd"/>
      <w:r w:rsidRPr="00C5434A">
        <w:rPr>
          <w:rFonts w:eastAsiaTheme="minorEastAsia"/>
          <w:color w:val="000000" w:themeColor="text1"/>
        </w:rPr>
        <w:t xml:space="preserve">.  See PAXLOVID EUA for additional information </w:t>
      </w:r>
      <w:r w:rsidRPr="00C5434A">
        <w:rPr>
          <w:rFonts w:ascii="Calibri" w:eastAsia="Calibri" w:hAnsi="Calibri" w:cs="Calibri"/>
          <w:color w:val="000000" w:themeColor="text1"/>
        </w:rPr>
        <w:t>https://www.fda.gov/media/155050/download.</w:t>
      </w:r>
      <w:r w:rsidRPr="00C5434A">
        <w:rPr>
          <w:rFonts w:eastAsiaTheme="minorEastAsia"/>
          <w:color w:val="000000" w:themeColor="text1"/>
        </w:rPr>
        <w:t xml:space="preserve">  </w:t>
      </w:r>
      <w:proofErr w:type="spellStart"/>
      <w:r w:rsidRPr="00C5434A">
        <w:rPr>
          <w:rFonts w:eastAsiaTheme="minorEastAsia"/>
          <w:color w:val="000000" w:themeColor="text1"/>
        </w:rPr>
        <w:t>Molnupiravir</w:t>
      </w:r>
      <w:proofErr w:type="spellEnd"/>
      <w:r w:rsidRPr="00C5434A">
        <w:rPr>
          <w:rFonts w:eastAsiaTheme="minorEastAsia"/>
          <w:color w:val="000000" w:themeColor="text1"/>
        </w:rPr>
        <w:t xml:space="preserve"> has shown harm to fetal growth in animal studies and should not be used</w:t>
      </w:r>
      <w:r w:rsidR="006403FF">
        <w:rPr>
          <w:rFonts w:eastAsiaTheme="minorEastAsia"/>
          <w:color w:val="000000" w:themeColor="text1"/>
        </w:rPr>
        <w:t>.</w:t>
      </w:r>
    </w:p>
    <w:p w:rsidR="00C5434A" w:rsidRPr="00C5434A" w:rsidRDefault="00C5434A" w:rsidP="00C5434A">
      <w:pPr>
        <w:rPr>
          <w:rFonts w:eastAsiaTheme="minorEastAsia"/>
          <w:color w:val="000000" w:themeColor="text1"/>
        </w:rPr>
      </w:pPr>
      <w:r w:rsidRPr="00C5434A">
        <w:rPr>
          <w:rFonts w:eastAsiaTheme="minorEastAsia"/>
          <w:color w:val="000000" w:themeColor="text1"/>
        </w:rPr>
        <w:t xml:space="preserve"> </w:t>
      </w:r>
      <w:r w:rsidRPr="00C5434A">
        <w:tab/>
      </w:r>
      <w:r w:rsidRPr="00C5434A">
        <w:rPr>
          <w:rFonts w:eastAsiaTheme="minorEastAsia"/>
          <w:b/>
          <w:bCs/>
          <w:color w:val="000000" w:themeColor="text1"/>
          <w:u w:val="single"/>
        </w:rPr>
        <w:t>FOR PAXLOVID (must check all):</w:t>
      </w:r>
      <w:r w:rsidRPr="00C5434A">
        <w:rPr>
          <w:rFonts w:eastAsiaTheme="minorEastAsia"/>
          <w:b/>
          <w:bCs/>
          <w:color w:val="000000" w:themeColor="text1"/>
        </w:rPr>
        <w:t xml:space="preserve"> </w:t>
      </w:r>
    </w:p>
    <w:p w:rsidR="00C5434A" w:rsidRPr="00C5434A" w:rsidRDefault="00C5434A" w:rsidP="00C5434A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00C5434A">
        <w:rPr>
          <w:rFonts w:ascii="Calibri" w:eastAsia="Calibri" w:hAnsi="Calibri" w:cs="Calibri"/>
          <w:color w:val="000000" w:themeColor="text1"/>
        </w:rPr>
        <w:t xml:space="preserve">Patient is </w:t>
      </w:r>
      <w:r w:rsidRPr="00C5434A">
        <w:rPr>
          <w:rFonts w:ascii="Calibri" w:eastAsia="Calibri" w:hAnsi="Calibri" w:cs="Calibri"/>
          <w:b/>
          <w:bCs/>
          <w:color w:val="000000" w:themeColor="text1"/>
          <w:u w:val="single"/>
        </w:rPr>
        <w:t>NOT</w:t>
      </w:r>
      <w:r w:rsidRPr="00C5434A">
        <w:rPr>
          <w:rFonts w:ascii="Calibri" w:eastAsia="Calibri" w:hAnsi="Calibri" w:cs="Calibri"/>
          <w:color w:val="000000" w:themeColor="text1"/>
        </w:rPr>
        <w:t xml:space="preserve"> taking any of the following medications: </w:t>
      </w:r>
      <w:proofErr w:type="spellStart"/>
      <w:r w:rsidRPr="00C5434A">
        <w:rPr>
          <w:rFonts w:ascii="Calibri" w:eastAsia="Calibri" w:hAnsi="Calibri" w:cs="Calibri"/>
          <w:color w:val="000000" w:themeColor="text1"/>
        </w:rPr>
        <w:t>abemaciclib</w:t>
      </w:r>
      <w:proofErr w:type="spellEnd"/>
      <w:r w:rsidRPr="00C5434A">
        <w:rPr>
          <w:rFonts w:ascii="Calibri" w:eastAsia="Calibri" w:hAnsi="Calibri" w:cs="Calibri"/>
          <w:color w:val="000000" w:themeColor="text1"/>
        </w:rPr>
        <w:t xml:space="preserve">, alfuzosin, amiodarone, </w:t>
      </w:r>
      <w:proofErr w:type="spellStart"/>
      <w:r w:rsidRPr="00C5434A">
        <w:rPr>
          <w:rFonts w:ascii="Calibri" w:eastAsia="Calibri" w:hAnsi="Calibri" w:cs="Calibri"/>
          <w:color w:val="000000" w:themeColor="text1"/>
        </w:rPr>
        <w:t>apalutamide</w:t>
      </w:r>
      <w:proofErr w:type="spellEnd"/>
      <w:r w:rsidRPr="00C5434A">
        <w:rPr>
          <w:rFonts w:ascii="Calibri" w:eastAsia="Calibri" w:hAnsi="Calibri" w:cs="Calibri"/>
          <w:color w:val="000000" w:themeColor="text1"/>
        </w:rPr>
        <w:t xml:space="preserve">, carbamazepine, </w:t>
      </w:r>
      <w:proofErr w:type="spellStart"/>
      <w:r w:rsidRPr="00C5434A">
        <w:rPr>
          <w:rFonts w:ascii="Calibri" w:eastAsia="Calibri" w:hAnsi="Calibri" w:cs="Calibri"/>
          <w:color w:val="000000" w:themeColor="text1"/>
        </w:rPr>
        <w:t>ceritinib</w:t>
      </w:r>
      <w:proofErr w:type="spellEnd"/>
      <w:r w:rsidRPr="00C5434A">
        <w:rPr>
          <w:rFonts w:ascii="Calibri" w:eastAsia="Calibri" w:hAnsi="Calibri" w:cs="Calibri"/>
          <w:color w:val="000000" w:themeColor="text1"/>
        </w:rPr>
        <w:t xml:space="preserve">, clozapine, colchicine, </w:t>
      </w:r>
      <w:proofErr w:type="spellStart"/>
      <w:r w:rsidRPr="00C5434A">
        <w:rPr>
          <w:rFonts w:ascii="Calibri" w:eastAsia="Calibri" w:hAnsi="Calibri" w:cs="Calibri"/>
          <w:color w:val="000000" w:themeColor="text1"/>
        </w:rPr>
        <w:t>dasatinib</w:t>
      </w:r>
      <w:proofErr w:type="spellEnd"/>
      <w:r w:rsidRPr="00C5434A">
        <w:rPr>
          <w:rFonts w:ascii="Calibri" w:eastAsia="Calibri" w:hAnsi="Calibri" w:cs="Calibri"/>
          <w:color w:val="000000" w:themeColor="text1"/>
        </w:rPr>
        <w:t xml:space="preserve">, dihydroergotamine, dronedarone, </w:t>
      </w:r>
      <w:proofErr w:type="spellStart"/>
      <w:r w:rsidRPr="00C5434A">
        <w:rPr>
          <w:rFonts w:ascii="Calibri" w:eastAsia="Calibri" w:hAnsi="Calibri" w:cs="Calibri"/>
          <w:color w:val="000000" w:themeColor="text1"/>
        </w:rPr>
        <w:t>encorafenib</w:t>
      </w:r>
      <w:proofErr w:type="spellEnd"/>
      <w:r w:rsidRPr="00C5434A">
        <w:rPr>
          <w:rFonts w:ascii="Calibri" w:eastAsia="Calibri" w:hAnsi="Calibri" w:cs="Calibri"/>
          <w:color w:val="000000" w:themeColor="text1"/>
        </w:rPr>
        <w:t xml:space="preserve">, ergotamine, flecainide, ibrutinib, </w:t>
      </w:r>
      <w:proofErr w:type="spellStart"/>
      <w:r w:rsidRPr="00C5434A">
        <w:rPr>
          <w:rFonts w:ascii="Calibri" w:eastAsia="Calibri" w:hAnsi="Calibri" w:cs="Calibri"/>
          <w:color w:val="000000" w:themeColor="text1"/>
        </w:rPr>
        <w:t>ivosidenib</w:t>
      </w:r>
      <w:proofErr w:type="spellEnd"/>
      <w:r w:rsidRPr="00C5434A">
        <w:rPr>
          <w:rFonts w:ascii="Calibri" w:eastAsia="Calibri" w:hAnsi="Calibri" w:cs="Calibri"/>
          <w:color w:val="000000" w:themeColor="text1"/>
        </w:rPr>
        <w:t xml:space="preserve">, lovastatin, lurasidone, methylergonovine, oral midazolam, neratinib, nilotinib, pethidine, phenobarbital, phenytoin, </w:t>
      </w:r>
      <w:r w:rsidRPr="00C5434A">
        <w:rPr>
          <w:rFonts w:ascii="Calibri" w:eastAsia="Calibri" w:hAnsi="Calibri" w:cs="Calibri"/>
          <w:color w:val="000000" w:themeColor="text1"/>
        </w:rPr>
        <w:lastRenderedPageBreak/>
        <w:t xml:space="preserve">pimozide, piroxicam, propafenone, propoxyphene, quinidine, rifampin, rivaroxaban, sildenafil when used for pulmonary arterial hypertension (PAH), simvastatin, sirolimus, St John’s wort, triazolam,  </w:t>
      </w:r>
      <w:proofErr w:type="spellStart"/>
      <w:r w:rsidRPr="00C5434A">
        <w:rPr>
          <w:rFonts w:ascii="Calibri" w:eastAsia="Calibri" w:hAnsi="Calibri" w:cs="Calibri"/>
          <w:color w:val="000000" w:themeColor="text1"/>
        </w:rPr>
        <w:t>venetoclax</w:t>
      </w:r>
      <w:proofErr w:type="spellEnd"/>
      <w:r w:rsidRPr="00C5434A">
        <w:rPr>
          <w:rFonts w:ascii="Calibri" w:eastAsia="Calibri" w:hAnsi="Calibri" w:cs="Calibri"/>
          <w:color w:val="000000" w:themeColor="text1"/>
        </w:rPr>
        <w:t>, vinblastine, vincristine, voriconazole.**</w:t>
      </w:r>
    </w:p>
    <w:p w:rsidR="00C5434A" w:rsidRPr="00C5434A" w:rsidRDefault="00C5434A" w:rsidP="00C5434A">
      <w:pPr>
        <w:spacing w:after="0"/>
        <w:ind w:firstLine="720"/>
      </w:pPr>
      <w:r w:rsidRPr="00C5434A">
        <w:rPr>
          <w:rFonts w:ascii="Calibri" w:eastAsia="Calibri" w:hAnsi="Calibri" w:cs="Calibri"/>
          <w:color w:val="000000" w:themeColor="text1"/>
        </w:rPr>
        <w:t>**</w:t>
      </w:r>
      <w:r w:rsidRPr="00C5434A">
        <w:rPr>
          <w:rFonts w:ascii="Calibri" w:eastAsia="Calibri" w:hAnsi="Calibri" w:cs="Calibri"/>
          <w:color w:val="000000" w:themeColor="text1"/>
          <w:u w:val="single"/>
        </w:rPr>
        <w:t xml:space="preserve">Please refer to PAXLOVID HCP EUA for additional drug interactions that may require </w:t>
      </w:r>
      <w:r w:rsidRPr="00C5434A">
        <w:tab/>
      </w:r>
      <w:r w:rsidRPr="00C5434A">
        <w:tab/>
      </w:r>
      <w:r w:rsidRPr="00C5434A">
        <w:rPr>
          <w:rFonts w:ascii="Calibri" w:eastAsia="Calibri" w:hAnsi="Calibri" w:cs="Calibri"/>
          <w:color w:val="000000" w:themeColor="text1"/>
          <w:u w:val="single"/>
        </w:rPr>
        <w:t>therapy adjustments.  https://www.fda.gov/media/155050/download</w:t>
      </w:r>
      <w:r w:rsidRPr="00C5434A">
        <w:rPr>
          <w:rFonts w:ascii="Calibri" w:eastAsia="Calibri" w:hAnsi="Calibri" w:cs="Calibri"/>
          <w:color w:val="000000" w:themeColor="text1"/>
        </w:rPr>
        <w:t xml:space="preserve">** </w:t>
      </w:r>
    </w:p>
    <w:p w:rsidR="00C5434A" w:rsidRPr="00C5434A" w:rsidRDefault="00C5434A" w:rsidP="00C5434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5434A">
        <w:rPr>
          <w:rFonts w:eastAsiaTheme="minorEastAsia"/>
          <w:color w:val="000000" w:themeColor="text1"/>
        </w:rPr>
        <w:t xml:space="preserve">Patient does </w:t>
      </w:r>
      <w:r w:rsidRPr="00C5434A">
        <w:rPr>
          <w:rFonts w:eastAsiaTheme="minorEastAsia"/>
          <w:b/>
          <w:bCs/>
          <w:color w:val="000000" w:themeColor="text1"/>
          <w:u w:val="single"/>
        </w:rPr>
        <w:t>NOT</w:t>
      </w:r>
      <w:r w:rsidRPr="00C5434A">
        <w:rPr>
          <w:rFonts w:eastAsiaTheme="minorEastAsia"/>
          <w:color w:val="000000" w:themeColor="text1"/>
        </w:rPr>
        <w:t xml:space="preserve"> have severe renal impairment (eGFR below 30 mL/min)</w:t>
      </w:r>
    </w:p>
    <w:p w:rsidR="00C5434A" w:rsidRPr="00C5434A" w:rsidRDefault="00C5434A" w:rsidP="00C5434A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C5434A">
        <w:rPr>
          <w:rFonts w:eastAsiaTheme="minorEastAsia"/>
          <w:color w:val="000000" w:themeColor="text1"/>
        </w:rPr>
        <w:t>Patient does</w:t>
      </w:r>
      <w:r w:rsidRPr="00C5434A">
        <w:rPr>
          <w:rFonts w:eastAsiaTheme="minorEastAsia"/>
          <w:b/>
          <w:bCs/>
          <w:color w:val="000000" w:themeColor="text1"/>
        </w:rPr>
        <w:t xml:space="preserve"> </w:t>
      </w:r>
      <w:r w:rsidRPr="00C5434A">
        <w:rPr>
          <w:rFonts w:eastAsiaTheme="minorEastAsia"/>
          <w:b/>
          <w:bCs/>
          <w:color w:val="000000" w:themeColor="text1"/>
          <w:u w:val="single"/>
        </w:rPr>
        <w:t>NOT</w:t>
      </w:r>
      <w:r w:rsidRPr="00C5434A">
        <w:rPr>
          <w:rFonts w:eastAsiaTheme="minorEastAsia"/>
          <w:color w:val="000000" w:themeColor="text1"/>
        </w:rPr>
        <w:t xml:space="preserve"> have severe hepatic impairment (Child Pugh Class C)</w:t>
      </w:r>
    </w:p>
    <w:p w:rsidR="00C5434A" w:rsidRPr="00C5434A" w:rsidRDefault="00C5434A" w:rsidP="00C5434A">
      <w:pPr>
        <w:spacing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00C5434A">
        <w:rPr>
          <w:rFonts w:eastAsiaTheme="minorEastAsia"/>
          <w:b/>
          <w:bCs/>
          <w:color w:val="000000" w:themeColor="text1"/>
          <w:u w:val="single"/>
        </w:rPr>
        <w:t>FOR MOLNUPIRAVIR (must check one):</w:t>
      </w:r>
    </w:p>
    <w:p w:rsidR="00C5434A" w:rsidRPr="00C5434A" w:rsidRDefault="00C5434A" w:rsidP="00C5434A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r w:rsidRPr="00C5434A">
        <w:rPr>
          <w:rFonts w:eastAsiaTheme="minorEastAsia"/>
          <w:color w:val="000000" w:themeColor="text1"/>
        </w:rPr>
        <w:t xml:space="preserve">Patient of child-bearing potential is NOT pregnant and has been instructed to use reliable contraception while taking </w:t>
      </w:r>
      <w:proofErr w:type="spellStart"/>
      <w:r w:rsidRPr="00C5434A">
        <w:rPr>
          <w:rFonts w:eastAsiaTheme="minorEastAsia"/>
          <w:color w:val="000000" w:themeColor="text1"/>
        </w:rPr>
        <w:t>molnupiravir</w:t>
      </w:r>
      <w:proofErr w:type="spellEnd"/>
      <w:r w:rsidRPr="00C5434A">
        <w:rPr>
          <w:rFonts w:eastAsiaTheme="minorEastAsia"/>
          <w:color w:val="000000" w:themeColor="text1"/>
        </w:rPr>
        <w:t xml:space="preserve"> and for at least 4 days after last dose.</w:t>
      </w:r>
      <w:r w:rsidRPr="00C5434A">
        <w:rPr>
          <w:rFonts w:eastAsiaTheme="minorEastAsia"/>
          <w:color w:val="000000" w:themeColor="text1"/>
        </w:rPr>
        <w:br/>
        <w:t>OR</w:t>
      </w:r>
    </w:p>
    <w:p w:rsidR="00C5434A" w:rsidRPr="00C5434A" w:rsidRDefault="00C5434A" w:rsidP="00C5434A">
      <w:pPr>
        <w:pStyle w:val="ListParagraph"/>
        <w:numPr>
          <w:ilvl w:val="0"/>
          <w:numId w:val="3"/>
        </w:numPr>
        <w:spacing w:line="240" w:lineRule="auto"/>
      </w:pPr>
      <w:r w:rsidRPr="00C5434A">
        <w:t xml:space="preserve">Sexually active patient with partners of childbearing potential has been instructed to use reliable contraception while taking </w:t>
      </w:r>
      <w:proofErr w:type="spellStart"/>
      <w:r w:rsidRPr="00C5434A">
        <w:t>molnupiravir</w:t>
      </w:r>
      <w:proofErr w:type="spellEnd"/>
      <w:r w:rsidRPr="00C5434A">
        <w:t xml:space="preserve"> and for at least 3 months after last dose.</w:t>
      </w:r>
      <w:r w:rsidRPr="00C5434A">
        <w:br/>
        <w:t>OR</w:t>
      </w:r>
    </w:p>
    <w:p w:rsidR="00C5434A" w:rsidRPr="00C5434A" w:rsidRDefault="00C5434A" w:rsidP="00C5434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00C5434A">
        <w:t>Patient is not of child-bearing potential and/or does not have partners of child-bearing potential.</w:t>
      </w:r>
      <w:r w:rsidRPr="00C5434A">
        <w:br/>
      </w:r>
    </w:p>
    <w:p w:rsidR="00C5434A" w:rsidRPr="00C5434A" w:rsidRDefault="00C5434A" w:rsidP="00C5434A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00C5434A">
        <w:rPr>
          <w:rFonts w:eastAsiaTheme="minorEastAsia"/>
          <w:b/>
          <w:bCs/>
          <w:color w:val="000000" w:themeColor="text1"/>
        </w:rPr>
        <w:t xml:space="preserve">Please check the appropriate order based on patient’s renal function! </w:t>
      </w:r>
    </w:p>
    <w:p w:rsidR="00C5434A" w:rsidRPr="00C5434A" w:rsidRDefault="00C5434A" w:rsidP="00C5434A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color w:val="000000" w:themeColor="text1"/>
        </w:rPr>
      </w:pPr>
      <w:r w:rsidRPr="00C5434A">
        <w:rPr>
          <w:rFonts w:eastAsiaTheme="minorEastAsia"/>
          <w:color w:val="000000" w:themeColor="text1"/>
        </w:rPr>
        <w:t xml:space="preserve">eGFR 60 mL/min or over: </w:t>
      </w:r>
      <w:r w:rsidRPr="00C5434A">
        <w:rPr>
          <w:rFonts w:eastAsiaTheme="minorEastAsia"/>
          <w:color w:val="000000" w:themeColor="text1"/>
        </w:rPr>
        <w:br/>
        <w:t xml:space="preserve"> </w:t>
      </w:r>
      <w:proofErr w:type="spellStart"/>
      <w:r w:rsidRPr="00C5434A">
        <w:rPr>
          <w:rFonts w:eastAsiaTheme="minorEastAsia"/>
          <w:color w:val="000000" w:themeColor="text1"/>
        </w:rPr>
        <w:t>Paxlovid</w:t>
      </w:r>
      <w:proofErr w:type="spellEnd"/>
      <w:r w:rsidRPr="00C5434A">
        <w:rPr>
          <w:rFonts w:eastAsiaTheme="minorEastAsia"/>
          <w:color w:val="000000" w:themeColor="text1"/>
        </w:rPr>
        <w:t xml:space="preserve"> (150 mg </w:t>
      </w:r>
      <w:proofErr w:type="spellStart"/>
      <w:r w:rsidRPr="00C5434A">
        <w:rPr>
          <w:rFonts w:eastAsiaTheme="minorEastAsia"/>
          <w:color w:val="000000" w:themeColor="text1"/>
        </w:rPr>
        <w:t>nirmatrelvir</w:t>
      </w:r>
      <w:proofErr w:type="spellEnd"/>
      <w:r w:rsidRPr="00C5434A">
        <w:rPr>
          <w:rFonts w:eastAsiaTheme="minorEastAsia"/>
          <w:color w:val="000000" w:themeColor="text1"/>
        </w:rPr>
        <w:t xml:space="preserve"> x 2 tabs with 100 mg ritonavir x 1 tab) by mouth twice daily.  #20 </w:t>
      </w:r>
      <w:proofErr w:type="spellStart"/>
      <w:r w:rsidRPr="00C5434A">
        <w:rPr>
          <w:rFonts w:eastAsiaTheme="minorEastAsia"/>
          <w:color w:val="000000" w:themeColor="text1"/>
        </w:rPr>
        <w:t>nirmatrelvir</w:t>
      </w:r>
      <w:proofErr w:type="spellEnd"/>
      <w:r w:rsidRPr="00C5434A">
        <w:rPr>
          <w:rFonts w:eastAsiaTheme="minorEastAsia"/>
          <w:color w:val="000000" w:themeColor="text1"/>
        </w:rPr>
        <w:t xml:space="preserve"> #10 ritonavir.   No refills </w:t>
      </w:r>
      <w:r w:rsidRPr="00C5434A">
        <w:br/>
      </w:r>
    </w:p>
    <w:p w:rsidR="00C5434A" w:rsidRPr="00C5434A" w:rsidRDefault="00C5434A" w:rsidP="00C5434A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</w:rPr>
      </w:pPr>
      <w:r w:rsidRPr="00C5434A">
        <w:rPr>
          <w:rFonts w:eastAsiaTheme="minorEastAsia"/>
          <w:color w:val="000000" w:themeColor="text1"/>
        </w:rPr>
        <w:t xml:space="preserve"> eGFR 30-60 mL/min:</w:t>
      </w:r>
      <w:r w:rsidRPr="00C5434A">
        <w:rPr>
          <w:rFonts w:eastAsiaTheme="minorEastAsia"/>
          <w:color w:val="000000" w:themeColor="text1"/>
        </w:rPr>
        <w:br/>
      </w:r>
      <w:proofErr w:type="spellStart"/>
      <w:r w:rsidRPr="00C5434A">
        <w:rPr>
          <w:rFonts w:eastAsiaTheme="minorEastAsia"/>
          <w:color w:val="000000" w:themeColor="text1"/>
        </w:rPr>
        <w:t>Paxlovid</w:t>
      </w:r>
      <w:proofErr w:type="spellEnd"/>
      <w:r w:rsidRPr="00C5434A">
        <w:rPr>
          <w:rFonts w:eastAsiaTheme="minorEastAsia"/>
          <w:color w:val="000000" w:themeColor="text1"/>
        </w:rPr>
        <w:t xml:space="preserve"> (150 mg </w:t>
      </w:r>
      <w:proofErr w:type="spellStart"/>
      <w:r w:rsidRPr="00C5434A">
        <w:rPr>
          <w:rFonts w:eastAsiaTheme="minorEastAsia"/>
          <w:color w:val="000000" w:themeColor="text1"/>
        </w:rPr>
        <w:t>nirmatrelvir</w:t>
      </w:r>
      <w:proofErr w:type="spellEnd"/>
      <w:r w:rsidRPr="00C5434A">
        <w:rPr>
          <w:rFonts w:eastAsiaTheme="minorEastAsia"/>
          <w:color w:val="000000" w:themeColor="text1"/>
        </w:rPr>
        <w:t xml:space="preserve"> x 1 tab with 100 mg ritonavir x 1 tab) by mouth twice daily. #10 </w:t>
      </w:r>
      <w:proofErr w:type="spellStart"/>
      <w:r w:rsidRPr="00C5434A">
        <w:rPr>
          <w:rFonts w:eastAsiaTheme="minorEastAsia"/>
          <w:color w:val="000000" w:themeColor="text1"/>
        </w:rPr>
        <w:t>nirmaltrelvir</w:t>
      </w:r>
      <w:proofErr w:type="spellEnd"/>
      <w:r w:rsidRPr="00C5434A">
        <w:rPr>
          <w:rFonts w:eastAsiaTheme="minorEastAsia"/>
          <w:color w:val="000000" w:themeColor="text1"/>
        </w:rPr>
        <w:t>, #10 ritonavir.  No refills.</w:t>
      </w:r>
      <w:r w:rsidRPr="00C5434A">
        <w:rPr>
          <w:rFonts w:eastAsiaTheme="minorEastAsia"/>
          <w:color w:val="000000" w:themeColor="text1"/>
        </w:rPr>
        <w:br/>
      </w:r>
    </w:p>
    <w:p w:rsidR="00C5434A" w:rsidRPr="00C5434A" w:rsidRDefault="00C5434A" w:rsidP="00C5434A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</w:rPr>
      </w:pPr>
      <w:r w:rsidRPr="00C5434A">
        <w:rPr>
          <w:rFonts w:eastAsiaTheme="minorEastAsia"/>
          <w:color w:val="000000" w:themeColor="text1"/>
        </w:rPr>
        <w:t xml:space="preserve">eGFR under 30 mL/min (and </w:t>
      </w:r>
      <w:proofErr w:type="spellStart"/>
      <w:r w:rsidRPr="00C5434A">
        <w:rPr>
          <w:rFonts w:eastAsiaTheme="minorEastAsia"/>
          <w:color w:val="000000" w:themeColor="text1"/>
        </w:rPr>
        <w:t>sotrovimab</w:t>
      </w:r>
      <w:proofErr w:type="spellEnd"/>
      <w:r w:rsidRPr="00C5434A">
        <w:rPr>
          <w:rFonts w:eastAsiaTheme="minorEastAsia"/>
          <w:color w:val="000000" w:themeColor="text1"/>
        </w:rPr>
        <w:t xml:space="preserve"> is not an option for the patient): </w:t>
      </w:r>
      <w:r w:rsidRPr="00C5434A">
        <w:rPr>
          <w:rFonts w:eastAsiaTheme="minorEastAsia"/>
          <w:color w:val="000000" w:themeColor="text1"/>
        </w:rPr>
        <w:br/>
      </w:r>
      <w:proofErr w:type="spellStart"/>
      <w:r w:rsidRPr="00C5434A">
        <w:rPr>
          <w:rFonts w:eastAsiaTheme="minorEastAsia"/>
        </w:rPr>
        <w:t>Molnupiravir</w:t>
      </w:r>
      <w:proofErr w:type="spellEnd"/>
      <w:r w:rsidRPr="00C5434A">
        <w:rPr>
          <w:rFonts w:eastAsiaTheme="minorEastAsia"/>
        </w:rPr>
        <w:t xml:space="preserve"> 200 mg Take 4 caps by mouth every 12 hours.  #40. No refills</w:t>
      </w:r>
    </w:p>
    <w:p w:rsidR="00C5434A" w:rsidRPr="00C5434A" w:rsidRDefault="00C5434A" w:rsidP="00C5434A">
      <w:pPr>
        <w:ind w:firstLine="720"/>
        <w:rPr>
          <w:rFonts w:eastAsiaTheme="minorEastAsia"/>
        </w:rPr>
      </w:pPr>
    </w:p>
    <w:p w:rsidR="00C5434A" w:rsidRPr="00C5434A" w:rsidRDefault="00C5434A" w:rsidP="00C5434A">
      <w:pPr>
        <w:ind w:firstLine="720"/>
        <w:rPr>
          <w:rFonts w:eastAsiaTheme="minorEastAsia"/>
          <w:b/>
        </w:rPr>
      </w:pPr>
      <w:r w:rsidRPr="00C5434A">
        <w:rPr>
          <w:rFonts w:eastAsiaTheme="minorEastAsia"/>
          <w:b/>
        </w:rPr>
        <w:t>_________________________     ______________________     __________________</w:t>
      </w:r>
    </w:p>
    <w:p w:rsidR="00C5434A" w:rsidRPr="00C5434A" w:rsidRDefault="00C5434A" w:rsidP="00C5434A">
      <w:pPr>
        <w:ind w:firstLine="720"/>
        <w:rPr>
          <w:rFonts w:eastAsiaTheme="minorEastAsia"/>
          <w:b/>
        </w:rPr>
      </w:pPr>
      <w:r w:rsidRPr="00C5434A">
        <w:rPr>
          <w:rFonts w:eastAsiaTheme="minorEastAsia"/>
          <w:b/>
        </w:rPr>
        <w:t xml:space="preserve">(provider signature) </w:t>
      </w:r>
      <w:r w:rsidRPr="00C5434A">
        <w:rPr>
          <w:b/>
        </w:rPr>
        <w:tab/>
      </w:r>
      <w:r w:rsidRPr="00C5434A">
        <w:rPr>
          <w:b/>
        </w:rPr>
        <w:tab/>
      </w:r>
      <w:r w:rsidRPr="00C5434A">
        <w:rPr>
          <w:rFonts w:eastAsiaTheme="minorEastAsia"/>
          <w:b/>
        </w:rPr>
        <w:t>(provider name)</w:t>
      </w:r>
      <w:r w:rsidRPr="00C5434A">
        <w:rPr>
          <w:b/>
        </w:rPr>
        <w:tab/>
      </w:r>
      <w:r w:rsidRPr="00C5434A">
        <w:rPr>
          <w:b/>
        </w:rPr>
        <w:tab/>
      </w:r>
      <w:r w:rsidRPr="00C5434A">
        <w:rPr>
          <w:b/>
        </w:rPr>
        <w:tab/>
      </w:r>
      <w:r w:rsidRPr="00C5434A">
        <w:rPr>
          <w:rFonts w:eastAsiaTheme="minorEastAsia"/>
          <w:b/>
        </w:rPr>
        <w:t>(date)</w:t>
      </w:r>
    </w:p>
    <w:p w:rsidR="00C5434A" w:rsidRPr="00C5434A" w:rsidRDefault="00C5434A" w:rsidP="00C5434A">
      <w:pPr>
        <w:ind w:firstLine="720"/>
        <w:rPr>
          <w:rFonts w:eastAsiaTheme="minorEastAsia"/>
          <w:b/>
        </w:rPr>
      </w:pPr>
      <w:r w:rsidRPr="00C5434A">
        <w:rPr>
          <w:rFonts w:eastAsiaTheme="minorEastAsia"/>
          <w:b/>
        </w:rPr>
        <w:t>Provider NPI number______________________</w:t>
      </w:r>
    </w:p>
    <w:p w:rsidR="00C5434A" w:rsidRPr="00C5434A" w:rsidRDefault="00C5434A" w:rsidP="00C5434A">
      <w:pPr>
        <w:ind w:firstLine="720"/>
        <w:rPr>
          <w:rFonts w:eastAsiaTheme="minorEastAsia"/>
          <w:b/>
        </w:rPr>
      </w:pPr>
      <w:r w:rsidRPr="00C5434A">
        <w:rPr>
          <w:rFonts w:eastAsiaTheme="minorEastAsia"/>
          <w:b/>
        </w:rPr>
        <w:t>Phone number where provider can be reached: __________________________</w:t>
      </w:r>
    </w:p>
    <w:p w:rsidR="00C5434A" w:rsidRPr="00C5434A" w:rsidRDefault="00C5434A" w:rsidP="00C5434A">
      <w:pPr>
        <w:ind w:firstLine="720"/>
        <w:rPr>
          <w:rFonts w:eastAsiaTheme="minorEastAsia"/>
          <w:b/>
        </w:rPr>
      </w:pPr>
      <w:r w:rsidRPr="00C5434A">
        <w:rPr>
          <w:rFonts w:eastAsiaTheme="minorEastAsia"/>
          <w:b/>
        </w:rPr>
        <w:t>Please fax orders to 307-235-9146.</w:t>
      </w:r>
    </w:p>
    <w:p w:rsidR="000B2931" w:rsidRDefault="0018702A">
      <w:r>
        <w:t>Last updated on 1.1</w:t>
      </w:r>
      <w:r w:rsidR="006403FF">
        <w:t>4</w:t>
      </w:r>
      <w:r>
        <w:t>.22</w:t>
      </w:r>
    </w:p>
    <w:sectPr w:rsidR="000B2931" w:rsidSect="00763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39C" w:rsidRDefault="00C5539C" w:rsidP="00850B75">
      <w:r>
        <w:separator/>
      </w:r>
    </w:p>
  </w:endnote>
  <w:endnote w:type="continuationSeparator" w:id="0">
    <w:p w:rsidR="00C5539C" w:rsidRDefault="00C5539C" w:rsidP="0085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cher Book">
    <w:altName w:val="Calibri"/>
    <w:charset w:val="00"/>
    <w:family w:val="auto"/>
    <w:pitch w:val="variable"/>
    <w:sig w:usb0="A000007F" w:usb1="4000005B" w:usb2="00000000" w:usb3="00000000" w:csb0="0000008B" w:csb1="00000000"/>
  </w:font>
  <w:font w:name="Archer-Bold">
    <w:altName w:val="Calibri"/>
    <w:charset w:val="00"/>
    <w:family w:val="auto"/>
    <w:pitch w:val="variable"/>
    <w:sig w:usb0="A000007F" w:usb1="4000005B" w:usb2="00000000" w:usb3="00000000" w:csb0="0000008B" w:csb1="00000000"/>
  </w:font>
  <w:font w:name="Archer-Book">
    <w:altName w:val="Calibri"/>
    <w:charset w:val="00"/>
    <w:family w:val="auto"/>
    <w:pitch w:val="variable"/>
    <w:sig w:usb0="A000007F" w:usb1="4000005B" w:usb2="00000000" w:usb3="00000000" w:csb0="0000008B" w:csb1="00000000"/>
  </w:font>
  <w:font w:name="Archer-Semibold">
    <w:altName w:val="Calibri"/>
    <w:charset w:val="00"/>
    <w:family w:val="auto"/>
    <w:pitch w:val="variable"/>
    <w:sig w:usb0="A000007F" w:usb1="4000005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2E" w:rsidRDefault="00A97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2E" w:rsidRPr="00A9742E" w:rsidRDefault="00A9742E" w:rsidP="00A9742E">
    <w:pPr>
      <w:pStyle w:val="Footer"/>
      <w:jc w:val="center"/>
      <w:rPr>
        <w:rFonts w:ascii="Archer Book" w:hAnsi="Archer Book"/>
        <w:color w:val="35DEFE"/>
      </w:rPr>
    </w:pPr>
    <w:r w:rsidRPr="00A9742E">
      <w:rPr>
        <w:rFonts w:ascii="Archer Book" w:hAnsi="Archer Book"/>
        <w:color w:val="35DEFE"/>
      </w:rPr>
      <w:t>CasperPublicHealth.org</w:t>
    </w:r>
  </w:p>
  <w:p w:rsidR="00A9742E" w:rsidRPr="00A9742E" w:rsidRDefault="00A9742E" w:rsidP="00A9742E">
    <w:pPr>
      <w:pStyle w:val="BasicParagraph"/>
      <w:jc w:val="center"/>
      <w:rPr>
        <w:rFonts w:ascii="Archer-Book" w:hAnsi="Archer-Book" w:cs="Archer-Book"/>
        <w:color w:val="1B4077"/>
        <w:sz w:val="20"/>
        <w:szCs w:val="20"/>
      </w:rPr>
    </w:pPr>
    <w:r w:rsidRPr="00A9742E">
      <w:rPr>
        <w:rFonts w:ascii="Archer-Bold" w:hAnsi="Archer-Bold" w:cs="Archer-Bold"/>
        <w:b/>
        <w:bCs/>
        <w:color w:val="1B4077"/>
        <w:sz w:val="20"/>
        <w:szCs w:val="20"/>
      </w:rPr>
      <w:t xml:space="preserve">Phone: </w:t>
    </w:r>
    <w:proofErr w:type="gramStart"/>
    <w:r w:rsidRPr="00A9742E">
      <w:rPr>
        <w:rFonts w:ascii="Archer-Book" w:hAnsi="Archer-Book" w:cs="Archer-Book"/>
        <w:color w:val="1B4077"/>
        <w:sz w:val="20"/>
        <w:szCs w:val="20"/>
      </w:rPr>
      <w:t xml:space="preserve">307.235.9340 </w:t>
    </w:r>
    <w:r w:rsidRPr="00A9742E">
      <w:rPr>
        <w:rFonts w:ascii="Archer-Semibold" w:hAnsi="Archer-Semibold" w:cs="Archer-Semibold"/>
        <w:color w:val="1B4077"/>
        <w:sz w:val="20"/>
        <w:szCs w:val="20"/>
      </w:rPr>
      <w:t xml:space="preserve"> </w:t>
    </w:r>
    <w:r w:rsidRPr="00A9742E">
      <w:rPr>
        <w:rFonts w:ascii="Archer-Bold" w:hAnsi="Archer-Bold" w:cs="Archer-Bold"/>
        <w:b/>
        <w:bCs/>
        <w:color w:val="1B4077"/>
        <w:sz w:val="20"/>
        <w:szCs w:val="20"/>
      </w:rPr>
      <w:t>Fax</w:t>
    </w:r>
    <w:proofErr w:type="gramEnd"/>
    <w:r w:rsidRPr="00A9742E">
      <w:rPr>
        <w:rFonts w:ascii="Archer-Bold" w:hAnsi="Archer-Bold" w:cs="Archer-Bold"/>
        <w:b/>
        <w:bCs/>
        <w:color w:val="1B4077"/>
        <w:sz w:val="20"/>
        <w:szCs w:val="20"/>
      </w:rPr>
      <w:t xml:space="preserve">: </w:t>
    </w:r>
    <w:r w:rsidRPr="00A9742E">
      <w:rPr>
        <w:rFonts w:ascii="Archer-Book" w:hAnsi="Archer-Book" w:cs="Archer-Book"/>
        <w:color w:val="1B4077"/>
        <w:sz w:val="20"/>
        <w:szCs w:val="20"/>
      </w:rPr>
      <w:t>307.237.2036</w:t>
    </w:r>
    <w:r w:rsidRPr="00A9742E">
      <w:rPr>
        <w:rFonts w:ascii="Archer-Bold" w:hAnsi="Archer-Bold" w:cs="Archer-Bold"/>
        <w:b/>
        <w:bCs/>
        <w:color w:val="1B4077"/>
        <w:sz w:val="20"/>
        <w:szCs w:val="20"/>
      </w:rPr>
      <w:t xml:space="preserve">  Address: </w:t>
    </w:r>
    <w:r w:rsidRPr="00A9742E">
      <w:rPr>
        <w:rFonts w:ascii="Archer-Book" w:hAnsi="Archer-Book" w:cs="Archer-Book"/>
        <w:color w:val="1B4077"/>
        <w:sz w:val="20"/>
        <w:szCs w:val="20"/>
      </w:rPr>
      <w:t>475 S. Spruce Street, Casper, WY 82601</w:t>
    </w:r>
  </w:p>
  <w:p w:rsidR="00850B75" w:rsidRPr="00A9742E" w:rsidRDefault="00850B75" w:rsidP="00A97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2E" w:rsidRDefault="00A97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39C" w:rsidRDefault="00C5539C" w:rsidP="00850B75">
      <w:r>
        <w:separator/>
      </w:r>
    </w:p>
  </w:footnote>
  <w:footnote w:type="continuationSeparator" w:id="0">
    <w:p w:rsidR="00C5539C" w:rsidRDefault="00C5539C" w:rsidP="0085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2E" w:rsidRDefault="00A97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B75" w:rsidRDefault="00850B75" w:rsidP="00850B75">
    <w:pPr>
      <w:pStyle w:val="Header"/>
      <w:jc w:val="center"/>
    </w:pPr>
    <w:r>
      <w:rPr>
        <w:noProof/>
      </w:rPr>
      <w:drawing>
        <wp:inline distT="0" distB="0" distL="0" distR="0" wp14:anchorId="4916355A" wp14:editId="7409A073">
          <wp:extent cx="1245066" cy="688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atrona_Logo9.9.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066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B75" w:rsidRDefault="00850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2E" w:rsidRDefault="00A97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65713"/>
    <w:multiLevelType w:val="hybridMultilevel"/>
    <w:tmpl w:val="8C50591A"/>
    <w:lvl w:ilvl="0" w:tplc="91D2A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7E6E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2F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A9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68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84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40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65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42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3C6C"/>
    <w:multiLevelType w:val="hybridMultilevel"/>
    <w:tmpl w:val="717ADE06"/>
    <w:lvl w:ilvl="0" w:tplc="16BED4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0921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A5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A9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2B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6A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48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69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2B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1884"/>
    <w:multiLevelType w:val="hybridMultilevel"/>
    <w:tmpl w:val="64DCB3A2"/>
    <w:lvl w:ilvl="0" w:tplc="C376249A">
      <w:start w:val="1"/>
      <w:numFmt w:val="decimal"/>
      <w:lvlText w:val="%1."/>
      <w:lvlJc w:val="left"/>
      <w:pPr>
        <w:ind w:left="360" w:hanging="360"/>
      </w:pPr>
    </w:lvl>
    <w:lvl w:ilvl="1" w:tplc="85CA3CC2">
      <w:start w:val="1"/>
      <w:numFmt w:val="lowerLetter"/>
      <w:lvlText w:val="%2."/>
      <w:lvlJc w:val="left"/>
      <w:pPr>
        <w:ind w:left="1080" w:hanging="360"/>
      </w:pPr>
    </w:lvl>
    <w:lvl w:ilvl="2" w:tplc="409C2AAC">
      <w:start w:val="1"/>
      <w:numFmt w:val="lowerRoman"/>
      <w:lvlText w:val="%3."/>
      <w:lvlJc w:val="right"/>
      <w:pPr>
        <w:ind w:left="1800" w:hanging="180"/>
      </w:pPr>
    </w:lvl>
    <w:lvl w:ilvl="3" w:tplc="5C92CDE6">
      <w:start w:val="1"/>
      <w:numFmt w:val="decimal"/>
      <w:lvlText w:val="%4."/>
      <w:lvlJc w:val="left"/>
      <w:pPr>
        <w:ind w:left="2520" w:hanging="360"/>
      </w:pPr>
    </w:lvl>
    <w:lvl w:ilvl="4" w:tplc="A8008372">
      <w:start w:val="1"/>
      <w:numFmt w:val="lowerLetter"/>
      <w:lvlText w:val="%5."/>
      <w:lvlJc w:val="left"/>
      <w:pPr>
        <w:ind w:left="3240" w:hanging="360"/>
      </w:pPr>
    </w:lvl>
    <w:lvl w:ilvl="5" w:tplc="4A0AB28C">
      <w:start w:val="1"/>
      <w:numFmt w:val="lowerRoman"/>
      <w:lvlText w:val="%6."/>
      <w:lvlJc w:val="right"/>
      <w:pPr>
        <w:ind w:left="3960" w:hanging="180"/>
      </w:pPr>
    </w:lvl>
    <w:lvl w:ilvl="6" w:tplc="4BC8CA80">
      <w:start w:val="1"/>
      <w:numFmt w:val="decimal"/>
      <w:lvlText w:val="%7."/>
      <w:lvlJc w:val="left"/>
      <w:pPr>
        <w:ind w:left="4680" w:hanging="360"/>
      </w:pPr>
    </w:lvl>
    <w:lvl w:ilvl="7" w:tplc="04382FEA">
      <w:start w:val="1"/>
      <w:numFmt w:val="lowerLetter"/>
      <w:lvlText w:val="%8."/>
      <w:lvlJc w:val="left"/>
      <w:pPr>
        <w:ind w:left="5400" w:hanging="360"/>
      </w:pPr>
    </w:lvl>
    <w:lvl w:ilvl="8" w:tplc="AB6A7A5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997249"/>
    <w:multiLevelType w:val="hybridMultilevel"/>
    <w:tmpl w:val="50E285A0"/>
    <w:lvl w:ilvl="0" w:tplc="AA3C31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4F0F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60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CB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C3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A3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E7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9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CF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478B9"/>
    <w:multiLevelType w:val="hybridMultilevel"/>
    <w:tmpl w:val="63646D4E"/>
    <w:lvl w:ilvl="0" w:tplc="E2AA11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C52332A">
      <w:start w:val="1"/>
      <w:numFmt w:val="lowerLetter"/>
      <w:lvlText w:val="%2."/>
      <w:lvlJc w:val="left"/>
      <w:pPr>
        <w:ind w:left="1440" w:hanging="360"/>
      </w:pPr>
    </w:lvl>
    <w:lvl w:ilvl="2" w:tplc="4BE2B178">
      <w:start w:val="1"/>
      <w:numFmt w:val="lowerRoman"/>
      <w:lvlText w:val="%3."/>
      <w:lvlJc w:val="right"/>
      <w:pPr>
        <w:ind w:left="2160" w:hanging="180"/>
      </w:pPr>
    </w:lvl>
    <w:lvl w:ilvl="3" w:tplc="B586639C">
      <w:start w:val="1"/>
      <w:numFmt w:val="decimal"/>
      <w:lvlText w:val="%4."/>
      <w:lvlJc w:val="left"/>
      <w:pPr>
        <w:ind w:left="2880" w:hanging="360"/>
      </w:pPr>
    </w:lvl>
    <w:lvl w:ilvl="4" w:tplc="F57C1A0C">
      <w:start w:val="1"/>
      <w:numFmt w:val="lowerLetter"/>
      <w:lvlText w:val="%5."/>
      <w:lvlJc w:val="left"/>
      <w:pPr>
        <w:ind w:left="3600" w:hanging="360"/>
      </w:pPr>
    </w:lvl>
    <w:lvl w:ilvl="5" w:tplc="AFBA1C32">
      <w:start w:val="1"/>
      <w:numFmt w:val="lowerRoman"/>
      <w:lvlText w:val="%6."/>
      <w:lvlJc w:val="right"/>
      <w:pPr>
        <w:ind w:left="4320" w:hanging="180"/>
      </w:pPr>
    </w:lvl>
    <w:lvl w:ilvl="6" w:tplc="0F56D052">
      <w:start w:val="1"/>
      <w:numFmt w:val="decimal"/>
      <w:lvlText w:val="%7."/>
      <w:lvlJc w:val="left"/>
      <w:pPr>
        <w:ind w:left="5040" w:hanging="360"/>
      </w:pPr>
    </w:lvl>
    <w:lvl w:ilvl="7" w:tplc="93360CD2">
      <w:start w:val="1"/>
      <w:numFmt w:val="lowerLetter"/>
      <w:lvlText w:val="%8."/>
      <w:lvlJc w:val="left"/>
      <w:pPr>
        <w:ind w:left="5760" w:hanging="360"/>
      </w:pPr>
    </w:lvl>
    <w:lvl w:ilvl="8" w:tplc="4D901D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38"/>
    <w:rsid w:val="000B2931"/>
    <w:rsid w:val="000B5269"/>
    <w:rsid w:val="000F51E3"/>
    <w:rsid w:val="0018702A"/>
    <w:rsid w:val="00314280"/>
    <w:rsid w:val="003F6168"/>
    <w:rsid w:val="004E7188"/>
    <w:rsid w:val="00535CCD"/>
    <w:rsid w:val="00602DB9"/>
    <w:rsid w:val="0060448A"/>
    <w:rsid w:val="006403FF"/>
    <w:rsid w:val="006E663E"/>
    <w:rsid w:val="007636EB"/>
    <w:rsid w:val="007B6423"/>
    <w:rsid w:val="00850B75"/>
    <w:rsid w:val="00855838"/>
    <w:rsid w:val="00A9742E"/>
    <w:rsid w:val="00BD1AD4"/>
    <w:rsid w:val="00C5434A"/>
    <w:rsid w:val="00C5539C"/>
    <w:rsid w:val="00C75205"/>
    <w:rsid w:val="00D402EB"/>
    <w:rsid w:val="00DD2DBF"/>
    <w:rsid w:val="00F2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A8DE6"/>
  <w14:defaultImageDpi w14:val="32767"/>
  <w15:chartTrackingRefBased/>
  <w15:docId w15:val="{7D347BDC-4133-4889-808D-FCD72EAC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434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B75"/>
  </w:style>
  <w:style w:type="paragraph" w:styleId="Footer">
    <w:name w:val="footer"/>
    <w:basedOn w:val="Normal"/>
    <w:link w:val="FooterChar"/>
    <w:uiPriority w:val="99"/>
    <w:unhideWhenUsed/>
    <w:rsid w:val="00850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B75"/>
  </w:style>
  <w:style w:type="paragraph" w:customStyle="1" w:styleId="BasicParagraph">
    <w:name w:val="[Basic Paragraph]"/>
    <w:basedOn w:val="Normal"/>
    <w:uiPriority w:val="99"/>
    <w:rsid w:val="00A9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54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5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CNCHD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kinder</dc:creator>
  <cp:keywords/>
  <dc:description/>
  <cp:lastModifiedBy>Kendall Coursen</cp:lastModifiedBy>
  <cp:revision>2</cp:revision>
  <cp:lastPrinted>2021-06-29T16:20:00Z</cp:lastPrinted>
  <dcterms:created xsi:type="dcterms:W3CDTF">2022-01-14T20:43:00Z</dcterms:created>
  <dcterms:modified xsi:type="dcterms:W3CDTF">2022-01-14T20:43:00Z</dcterms:modified>
</cp:coreProperties>
</file>